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94000" w14:textId="3C2BB742" w:rsidR="009D1081" w:rsidRPr="00363301" w:rsidRDefault="009D1081" w:rsidP="00363301">
      <w:pPr>
        <w:pStyle w:val="Kop2"/>
      </w:pPr>
      <w:bookmarkStart w:id="0" w:name="_Toc26885956"/>
      <w:bookmarkStart w:id="1" w:name="_Toc72421334"/>
      <w:bookmarkStart w:id="2" w:name="_Toc500776210"/>
      <w:r w:rsidRPr="00363301">
        <w:t>Verwerkersovereenkomst uitvoering &lt;</w:t>
      </w:r>
      <w:r w:rsidRPr="00363301">
        <w:rPr>
          <w:highlight w:val="yellow"/>
        </w:rPr>
        <w:t>naam hoofdovereenkomst</w:t>
      </w:r>
      <w:r w:rsidRPr="00363301">
        <w:t>&gt;</w:t>
      </w:r>
      <w:bookmarkEnd w:id="0"/>
      <w:bookmarkEnd w:id="1"/>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3" w:name="OpenAt"/>
      <w:bookmarkEnd w:id="3"/>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4"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4"/>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5"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5"/>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6"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6"/>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0DB34C30" w14:textId="77777777" w:rsidR="009D1081" w:rsidRPr="00363301" w:rsidRDefault="009D1081" w:rsidP="009D1081">
      <w:pPr>
        <w:ind w:left="705" w:hanging="705"/>
        <w:rPr>
          <w:rFonts w:asciiTheme="minorHAnsi" w:hAnsiTheme="minorHAnsi"/>
          <w:sz w:val="20"/>
          <w:szCs w:val="20"/>
        </w:rPr>
      </w:pPr>
    </w:p>
    <w:p w14:paraId="30BA7938" w14:textId="77777777" w:rsidR="00363301" w:rsidRDefault="00363301">
      <w:pPr>
        <w:rPr>
          <w:rFonts w:asciiTheme="minorHAnsi" w:hAnsiTheme="minorHAnsi"/>
          <w:b/>
          <w:sz w:val="20"/>
          <w:szCs w:val="20"/>
        </w:rPr>
      </w:pPr>
      <w:r>
        <w:rPr>
          <w:rFonts w:asciiTheme="minorHAnsi" w:hAnsiTheme="minorHAnsi"/>
          <w:b/>
          <w:sz w:val="20"/>
          <w:szCs w:val="20"/>
        </w:rPr>
        <w:br w:type="page"/>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7"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7"/>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8"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8"/>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9"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9"/>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0"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10"/>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14:paraId="756524DE" w14:textId="4875E524" w:rsidR="009D1081" w:rsidRPr="00363301" w:rsidRDefault="009D1081" w:rsidP="009D1081">
      <w:pPr>
        <w:ind w:left="705"/>
        <w:rPr>
          <w:rFonts w:asciiTheme="minorHAnsi" w:hAnsiTheme="minorHAnsi"/>
          <w:sz w:val="20"/>
          <w:szCs w:val="20"/>
        </w:rPr>
      </w:pPr>
      <w:bookmarkStart w:id="11"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1"/>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2"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2"/>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3"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4"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3"/>
    </w:p>
    <w:bookmarkEnd w:id="14"/>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5"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5"/>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63301">
      <w:pPr>
        <w:pStyle w:val="Kop2"/>
      </w:pPr>
      <w:bookmarkStart w:id="16" w:name="_Toc72421335"/>
      <w:r w:rsidRPr="00363301">
        <w:lastRenderedPageBreak/>
        <w:t>Bijlage 1: O</w:t>
      </w:r>
      <w:r w:rsidR="009D1081" w:rsidRPr="00363301">
        <w:t>verzicht van te verwerken</w:t>
      </w:r>
      <w:r w:rsidR="000227FE" w:rsidRPr="00363301">
        <w:t xml:space="preserve"> </w:t>
      </w:r>
      <w:r w:rsidR="009D1081" w:rsidRPr="00363301">
        <w:t>persoonsgegevens</w:t>
      </w:r>
      <w:bookmarkEnd w:id="16"/>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7"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F41ADE">
        <w:trPr>
          <w:trHeight w:val="574"/>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w:t>
            </w:r>
            <w:proofErr w:type="spellEnd"/>
            <w:r w:rsidRPr="00363301">
              <w:rPr>
                <w:rFonts w:asciiTheme="minorHAnsi" w:eastAsia="Verdana" w:hAnsiTheme="minorHAnsi"/>
                <w:b/>
                <w:bCs/>
                <w:color w:val="000000"/>
                <w:sz w:val="20"/>
                <w:szCs w:val="20"/>
              </w:rPr>
              <w:t xml:space="preserve">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F41ADE">
        <w:trPr>
          <w:trHeight w:val="862"/>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F41ADE">
        <w:trPr>
          <w:trHeight w:val="1149"/>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bookmarkEnd w:id="17"/>
    </w:tbl>
    <w:p w14:paraId="2F5440AC" w14:textId="77777777" w:rsidR="009D1081" w:rsidRPr="00363301" w:rsidRDefault="009D1081"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t</w:t>
            </w:r>
            <w:r w:rsidR="009D1081" w:rsidRPr="00363301">
              <w:rPr>
                <w:rFonts w:asciiTheme="minorHAnsi" w:eastAsia="Verdana" w:hAnsiTheme="minorHAnsi"/>
                <w:color w:val="000000"/>
                <w:sz w:val="20"/>
                <w:szCs w:val="20"/>
              </w:rPr>
              <w:t>elefoonnummer</w:t>
            </w:r>
            <w:r>
              <w:rPr>
                <w:rFonts w:asciiTheme="minorHAnsi" w:eastAsia="Verdana" w:hAnsiTheme="minorHAnsi"/>
                <w:color w:val="000000"/>
                <w:sz w:val="20"/>
                <w:szCs w:val="20"/>
              </w:rPr>
              <w:t>:</w:t>
            </w:r>
            <w:r w:rsidR="009D1081" w:rsidRPr="00363301">
              <w:rPr>
                <w:rFonts w:asciiTheme="minorHAnsi" w:eastAsia="Verdana" w:hAnsiTheme="minorHAnsi"/>
                <w:color w:val="000000"/>
                <w:sz w:val="20"/>
                <w:szCs w:val="20"/>
              </w:rPr>
              <w:t xml:space="preserve"> 070-</w:t>
            </w:r>
            <w:r>
              <w:rPr>
                <w:rFonts w:asciiTheme="minorHAnsi" w:eastAsia="Verdana" w:hAnsiTheme="minorHAnsi"/>
                <w:color w:val="000000"/>
                <w:sz w:val="20"/>
                <w:szCs w:val="20"/>
              </w:rPr>
              <w:t>204 55 11</w:t>
            </w:r>
          </w:p>
          <w:p w14:paraId="7BAE59D9" w14:textId="4DE3F188" w:rsidR="009D753C" w:rsidRPr="0036330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e-mailadres          : privacy@vng.nl</w:t>
            </w:r>
          </w:p>
        </w:tc>
      </w:tr>
    </w:tbl>
    <w:p w14:paraId="78ABE90B" w14:textId="77777777" w:rsidR="009D1081" w:rsidRPr="00363301" w:rsidRDefault="009D1081" w:rsidP="009D1081">
      <w:pPr>
        <w:rPr>
          <w:rFonts w:asciiTheme="minorHAnsi" w:eastAsia="Verdana" w:hAnsiTheme="minorHAnsi"/>
          <w:color w:val="000000"/>
          <w:sz w:val="20"/>
          <w:szCs w:val="20"/>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en contactgegevens </w:t>
            </w:r>
            <w:proofErr w:type="spellStart"/>
            <w:r w:rsidRPr="00363301">
              <w:rPr>
                <w:rFonts w:asciiTheme="minorHAnsi" w:eastAsia="Verdana" w:hAnsiTheme="minorHAnsi"/>
                <w:b/>
                <w:color w:val="000000"/>
                <w:sz w:val="20"/>
                <w:szCs w:val="20"/>
              </w:rPr>
              <w:t>subverwerker</w:t>
            </w:r>
            <w:proofErr w:type="spellEnd"/>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61E79623"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3E94E9C7" w14:textId="61EB2A9C" w:rsidR="009D1081" w:rsidRPr="00363301" w:rsidRDefault="006172DB" w:rsidP="00363301">
      <w:pPr>
        <w:pStyle w:val="Kop2"/>
      </w:pPr>
      <w:bookmarkStart w:id="18" w:name="_Toc72421336"/>
      <w:r w:rsidRPr="00363301">
        <w:lastRenderedPageBreak/>
        <w:t xml:space="preserve">Bijlage 2: </w:t>
      </w:r>
      <w:bookmarkStart w:id="19" w:name="_Hlk37365793"/>
      <w:r w:rsidRPr="00363301">
        <w:t>A</w:t>
      </w:r>
      <w:r w:rsidR="009D1081" w:rsidRPr="00363301">
        <w:t>antonen passend niveau van beveiliging</w:t>
      </w:r>
      <w:bookmarkEnd w:id="18"/>
      <w:bookmarkEnd w:id="19"/>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CBD1860"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77777777" w:rsidR="009D1081" w:rsidRPr="00363301" w:rsidRDefault="009D1081" w:rsidP="002019E7">
      <w:pPr>
        <w:pStyle w:val="Lijstalinea"/>
        <w:ind w:left="0" w:firstLine="0"/>
        <w:rPr>
          <w:rFonts w:asciiTheme="minorHAnsi" w:hAnsiTheme="minorHAnsi"/>
          <w:sz w:val="20"/>
          <w:szCs w:val="20"/>
        </w:rPr>
      </w:pPr>
    </w:p>
    <w:p w14:paraId="66A32D90" w14:textId="6CF61AC9"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20"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20"/>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74DAB292" w14:textId="51C0373F" w:rsidR="00FA0EFE" w:rsidRDefault="00FA0EFE">
      <w:pPr>
        <w:rPr>
          <w:rFonts w:asciiTheme="minorHAnsi" w:hAnsiTheme="minorHAnsi" w:cstheme="minorHAnsi"/>
          <w:sz w:val="18"/>
          <w:szCs w:val="18"/>
        </w:rPr>
      </w:pPr>
      <w:bookmarkStart w:id="21" w:name="id1-3-2-2-2-2-16-1-3-1-2"/>
      <w:bookmarkEnd w:id="21"/>
      <w:bookmarkEnd w:id="2"/>
      <w:r>
        <w:rPr>
          <w:rFonts w:asciiTheme="minorHAnsi" w:hAnsiTheme="minorHAnsi" w:cstheme="minorHAnsi"/>
          <w:sz w:val="18"/>
          <w:szCs w:val="18"/>
        </w:rPr>
        <w:br w:type="page"/>
      </w:r>
    </w:p>
    <w:p w14:paraId="018F015C" w14:textId="5E594F69" w:rsidR="00FA0EFE" w:rsidRDefault="00FA0EFE" w:rsidP="006306A6">
      <w:pPr>
        <w:spacing w:line="290" w:lineRule="auto"/>
        <w:jc w:val="center"/>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0AF32A30" w:rsidR="00FA0EFE" w:rsidRPr="00820546" w:rsidRDefault="00FA0EFE" w:rsidP="00FA0EFE">
      <w:pPr>
        <w:spacing w:line="290" w:lineRule="auto"/>
        <w:rPr>
          <w:rFonts w:ascii="Calibri" w:hAnsi="Calibri" w:cs="Calibri"/>
          <w:b/>
          <w:bCs/>
          <w:color w:val="00B0F0"/>
          <w:sz w:val="24"/>
          <w:szCs w:val="24"/>
        </w:rPr>
      </w:pPr>
      <w:r w:rsidRPr="00D87CE5">
        <w:rPr>
          <w:rFonts w:ascii="Calibri" w:hAnsi="Calibri" w:cs="Calibri"/>
          <w:b/>
          <w:bCs/>
          <w:color w:val="00B0F0"/>
          <w:sz w:val="24"/>
          <w:szCs w:val="24"/>
        </w:rPr>
        <w:t>Bijlage 3</w:t>
      </w:r>
      <w:r w:rsidRPr="00742F93">
        <w:rPr>
          <w:rFonts w:ascii="Calibri" w:hAnsi="Calibri" w:cs="Calibri"/>
          <w:b/>
          <w:bCs/>
          <w:color w:val="00B0F0"/>
          <w:sz w:val="24"/>
          <w:szCs w:val="24"/>
        </w:rPr>
        <w:t>: Relevante GIBIT</w:t>
      </w:r>
      <w:r w:rsidR="00742F93">
        <w:rPr>
          <w:rFonts w:ascii="Calibri" w:hAnsi="Calibri" w:cs="Calibri"/>
          <w:b/>
          <w:bCs/>
          <w:color w:val="00B0F0"/>
          <w:sz w:val="24"/>
          <w:szCs w:val="24"/>
        </w:rPr>
        <w:t xml:space="preserve"> </w:t>
      </w:r>
      <w:r w:rsidR="00E0031D" w:rsidRPr="00820546">
        <w:rPr>
          <w:rFonts w:ascii="Calibri" w:hAnsi="Calibri" w:cs="Calibri"/>
          <w:b/>
          <w:bCs/>
          <w:color w:val="00B0F0"/>
          <w:sz w:val="24"/>
          <w:szCs w:val="24"/>
        </w:rPr>
        <w:t xml:space="preserve">2020 </w:t>
      </w:r>
      <w:r w:rsidRPr="00820546">
        <w:rPr>
          <w:rFonts w:ascii="Calibri" w:hAnsi="Calibri" w:cs="Calibri"/>
          <w:b/>
          <w:bCs/>
          <w:color w:val="00B0F0"/>
          <w:sz w:val="24"/>
          <w:szCs w:val="24"/>
        </w:rPr>
        <w:t>artikelen</w:t>
      </w:r>
    </w:p>
    <w:p w14:paraId="6C94913C" w14:textId="77777777" w:rsidR="00FA0EFE" w:rsidRPr="00CE70E8" w:rsidRDefault="00FA0EFE" w:rsidP="00FA0EFE">
      <w:pPr>
        <w:pStyle w:val="Default"/>
        <w:rPr>
          <w:rFonts w:ascii="Calibri" w:hAnsi="Calibri" w:cs="Calibri"/>
        </w:rPr>
      </w:pPr>
    </w:p>
    <w:p w14:paraId="1A94AE00" w14:textId="77777777" w:rsidR="00FA0EFE" w:rsidRPr="00CE70E8" w:rsidRDefault="00FA0EFE" w:rsidP="00FA0EFE">
      <w:pPr>
        <w:pStyle w:val="Default"/>
        <w:rPr>
          <w:rFonts w:ascii="Calibri" w:hAnsi="Calibri" w:cs="Calibri"/>
          <w:b/>
          <w:bCs/>
          <w:sz w:val="23"/>
          <w:szCs w:val="23"/>
        </w:rPr>
      </w:pPr>
      <w:r w:rsidRPr="00CE70E8">
        <w:rPr>
          <w:rFonts w:ascii="Calibri" w:hAnsi="Calibri" w:cs="Calibri"/>
          <w:b/>
          <w:bCs/>
          <w:sz w:val="23"/>
          <w:szCs w:val="23"/>
        </w:rPr>
        <w:t>Artikel 13. Aansprakelijkheid</w:t>
      </w:r>
    </w:p>
    <w:p w14:paraId="54E3EB93"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13.1 De partij die toerekenbaar tekortschiet in de nakoming van zijn verplichtingen, of jegens de ander onrechtmatig handelt, is tegenover de andere partij aansprakelijk voor de door deze aldus geleden en/of te lijden schade. </w:t>
      </w:r>
    </w:p>
    <w:p w14:paraId="46D13B5F"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13.2 Voor zover nakoming niet reeds blijvend onmogelijk is, of de verbintenis voortvloeit uit onrechtmatige daad of strekt tot schadevergoeding, vindt lid 1 slechts toepassing met inachtneming van het bepaalde in artikel 20.9 omtrent verzuim. </w:t>
      </w:r>
    </w:p>
    <w:p w14:paraId="63DF8499"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13.3 De in lid 1 bedoelde aansprakelijkheid voor persoons- en zaakschade en daaruit voortvloeiende schade, is beperkt tot een bedrag van € 1.250.000,– per gebeurtenis. Samenhangende gebeurtenissen worden daarbij aangemerkt als één gebeurtenis. </w:t>
      </w:r>
    </w:p>
    <w:p w14:paraId="10EEE0AA"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13.4 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372D8FA2" w14:textId="77777777" w:rsidR="00FA0EFE" w:rsidRPr="00CE70E8" w:rsidRDefault="00FA0EFE" w:rsidP="00FA0EFE">
      <w:pPr>
        <w:pStyle w:val="Default"/>
        <w:rPr>
          <w:rFonts w:ascii="Calibri" w:hAnsi="Calibri" w:cs="Calibri"/>
          <w:sz w:val="20"/>
          <w:szCs w:val="20"/>
        </w:rPr>
      </w:pPr>
      <w:r w:rsidRPr="00CE70E8">
        <w:rPr>
          <w:rFonts w:ascii="Calibri" w:hAnsi="Calibri" w:cs="Calibri"/>
          <w:sz w:val="20"/>
          <w:szCs w:val="20"/>
        </w:rPr>
        <w:t>13.5 De in dit artikel opgenomen beperkingen van aansprakelijkheid komen te vervallen:</w:t>
      </w:r>
    </w:p>
    <w:p w14:paraId="69EC0454"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 xml:space="preserve">i) in geval van aanspraken van derden op schadevergoeding ten gevolge van dood of letsel en/of; </w:t>
      </w:r>
    </w:p>
    <w:p w14:paraId="1E6EF97D"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 xml:space="preserve">ii) indien sprake is van opzet of grove schuld aan de zijde van de andere partij of diens Personeel; en/of </w:t>
      </w:r>
    </w:p>
    <w:p w14:paraId="2265E443"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 xml:space="preserve">iii) in geval van schending van intellectuele eigendomsrechten als bedoeld in artikel 17; </w:t>
      </w:r>
    </w:p>
    <w:p w14:paraId="39F2AC7E"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iv) ten aanzien van door de toezichthoudende autoriteit opgelegde boetes:</w:t>
      </w:r>
    </w:p>
    <w:p w14:paraId="2DD0228F" w14:textId="77777777" w:rsidR="00FA0EFE" w:rsidRPr="00CE70E8" w:rsidRDefault="00FA0EFE" w:rsidP="00FA0EFE">
      <w:pPr>
        <w:pStyle w:val="Default"/>
        <w:numPr>
          <w:ilvl w:val="0"/>
          <w:numId w:val="30"/>
        </w:numPr>
        <w:ind w:left="1040"/>
        <w:rPr>
          <w:rFonts w:ascii="Calibri" w:hAnsi="Calibri" w:cs="Calibri"/>
          <w:sz w:val="20"/>
          <w:szCs w:val="20"/>
        </w:rPr>
      </w:pPr>
      <w:r w:rsidRPr="00CE70E8">
        <w:rPr>
          <w:rFonts w:ascii="Calibri" w:hAnsi="Calibri" w:cs="Calibri"/>
          <w:sz w:val="20"/>
          <w:szCs w:val="20"/>
        </w:rPr>
        <w:t xml:space="preserve">voor zover die boetes ook rechtstreeks aan de Leverancier hadden kunnen worden opgelegd, maar niet zijn opgelegd; en </w:t>
      </w:r>
    </w:p>
    <w:p w14:paraId="24CA980D" w14:textId="77777777" w:rsidR="00FA0EFE" w:rsidRPr="00CE70E8" w:rsidRDefault="00FA0EFE" w:rsidP="00FA0EFE">
      <w:pPr>
        <w:pStyle w:val="Default"/>
        <w:numPr>
          <w:ilvl w:val="0"/>
          <w:numId w:val="30"/>
        </w:numPr>
        <w:ind w:left="1040"/>
        <w:rPr>
          <w:rFonts w:ascii="Calibri" w:hAnsi="Calibri" w:cs="Calibri"/>
          <w:sz w:val="20"/>
          <w:szCs w:val="20"/>
        </w:rPr>
      </w:pPr>
      <w:r w:rsidRPr="00CE70E8">
        <w:rPr>
          <w:rFonts w:ascii="Calibri" w:hAnsi="Calibri" w:cs="Calibri"/>
          <w:sz w:val="20"/>
          <w:szCs w:val="20"/>
        </w:rPr>
        <w:t>onder de voorwaarde dat Opdrachtgever Leverancier:</w:t>
      </w:r>
    </w:p>
    <w:p w14:paraId="0B37E4DF" w14:textId="77777777" w:rsidR="00FA0EFE" w:rsidRPr="00CE70E8" w:rsidRDefault="00FA0EFE" w:rsidP="00FA0EFE">
      <w:pPr>
        <w:pStyle w:val="Default"/>
        <w:numPr>
          <w:ilvl w:val="0"/>
          <w:numId w:val="29"/>
        </w:numPr>
        <w:ind w:left="1380"/>
        <w:rPr>
          <w:rFonts w:ascii="Calibri" w:hAnsi="Calibri" w:cs="Calibri"/>
          <w:sz w:val="20"/>
          <w:szCs w:val="20"/>
        </w:rPr>
      </w:pPr>
      <w:r w:rsidRPr="00CE70E8">
        <w:rPr>
          <w:rFonts w:ascii="Calibri" w:hAnsi="Calibr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CE70E8" w:rsidRDefault="00FA0EFE" w:rsidP="00FA0EFE">
      <w:pPr>
        <w:pStyle w:val="Default"/>
        <w:numPr>
          <w:ilvl w:val="0"/>
          <w:numId w:val="29"/>
        </w:numPr>
        <w:spacing w:after="80"/>
        <w:ind w:left="1380"/>
        <w:rPr>
          <w:rFonts w:ascii="Calibri" w:hAnsi="Calibri" w:cs="Calibri"/>
          <w:sz w:val="20"/>
          <w:szCs w:val="20"/>
        </w:rPr>
      </w:pPr>
      <w:r w:rsidRPr="00CE70E8">
        <w:rPr>
          <w:rFonts w:ascii="Calibri" w:hAnsi="Calibri" w:cs="Calibri"/>
          <w:sz w:val="20"/>
          <w:szCs w:val="20"/>
        </w:rPr>
        <w:t xml:space="preserve">Leverancier volledig betrekt bij het voeren van verweer tegen die boete althans het aan Leverancier toe te rekenen deel van die boete. </w:t>
      </w:r>
    </w:p>
    <w:p w14:paraId="01457A31" w14:textId="77777777" w:rsidR="00FA0EFE" w:rsidRPr="00CE70E8" w:rsidRDefault="00FA0EFE" w:rsidP="00FA0EFE">
      <w:pPr>
        <w:pStyle w:val="Default"/>
        <w:rPr>
          <w:rFonts w:ascii="Calibri" w:hAnsi="Calibri" w:cs="Calibri"/>
          <w:sz w:val="20"/>
          <w:szCs w:val="20"/>
        </w:rPr>
      </w:pPr>
      <w:r w:rsidRPr="00CE70E8">
        <w:rPr>
          <w:rFonts w:ascii="Calibri" w:hAnsi="Calibri" w:cs="Calibri"/>
          <w:sz w:val="20"/>
          <w:szCs w:val="20"/>
        </w:rPr>
        <w:t xml:space="preserve">13.6 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CE70E8" w:rsidRDefault="00FA0EFE" w:rsidP="00FA0EFE">
      <w:pPr>
        <w:rPr>
          <w:rFonts w:ascii="Calibri" w:hAnsi="Calibri" w:cs="Calibri"/>
          <w:sz w:val="20"/>
          <w:szCs w:val="20"/>
        </w:rPr>
      </w:pPr>
    </w:p>
    <w:p w14:paraId="3927DAEB" w14:textId="77777777" w:rsidR="00FA0EFE" w:rsidRPr="00D87CE5" w:rsidRDefault="00FA0EFE" w:rsidP="00FA0EFE">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20. Opschorting, opzegging en ontbinding </w:t>
      </w:r>
    </w:p>
    <w:p w14:paraId="49064023" w14:textId="77777777" w:rsidR="00FA0EFE" w:rsidRPr="008C79A2" w:rsidRDefault="00FA0EFE" w:rsidP="00FA0EFE">
      <w:pPr>
        <w:spacing w:line="290" w:lineRule="auto"/>
        <w:rPr>
          <w:rFonts w:ascii="Calibri" w:hAnsi="Calibri" w:cs="Calibri"/>
          <w:sz w:val="20"/>
          <w:szCs w:val="20"/>
        </w:rPr>
      </w:pPr>
      <w:r w:rsidRPr="008C79A2">
        <w:rPr>
          <w:rFonts w:ascii="Calibri" w:eastAsiaTheme="minorHAnsi" w:hAnsi="Calibri" w:cs="Calibri"/>
          <w:color w:val="000000"/>
          <w:sz w:val="20"/>
          <w:szCs w:val="20"/>
          <w:lang w:eastAsia="en-US" w:bidi="ar-SA"/>
        </w:rPr>
        <w:t>Gevolgen van beëindiging</w:t>
      </w:r>
    </w:p>
    <w:p w14:paraId="0FD7659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20.14 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5613AC1"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0E17E358" w14:textId="77777777" w:rsidR="00FA0EFE" w:rsidRPr="00D87CE5" w:rsidRDefault="00FA0EFE" w:rsidP="006306A6">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22. Overstap, beperkte voortzetting, overdracht en verlengd gebruik </w:t>
      </w:r>
    </w:p>
    <w:p w14:paraId="457969A8" w14:textId="77777777" w:rsidR="00FA0EFE" w:rsidRPr="002A2757" w:rsidRDefault="00FA0EFE" w:rsidP="00FA0EFE">
      <w:pPr>
        <w:spacing w:line="290" w:lineRule="auto"/>
        <w:rPr>
          <w:rFonts w:ascii="Calibri" w:hAnsi="Calibri" w:cs="Calibri"/>
          <w:sz w:val="20"/>
          <w:szCs w:val="20"/>
        </w:rPr>
      </w:pPr>
      <w:r w:rsidRPr="00D87CE5">
        <w:rPr>
          <w:rFonts w:ascii="Calibri" w:eastAsiaTheme="minorHAnsi" w:hAnsi="Calibri" w:cs="Calibri"/>
          <w:color w:val="000000"/>
          <w:sz w:val="20"/>
          <w:szCs w:val="20"/>
          <w:lang w:eastAsia="en-US" w:bidi="ar-SA"/>
        </w:rPr>
        <w:t>Exit-plan</w:t>
      </w:r>
    </w:p>
    <w:p w14:paraId="5DD71ED5"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22.1 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20C6B230"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22.2 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01AEA8FE"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2495CBAD"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lastRenderedPageBreak/>
        <w:t xml:space="preserve">Overstap naar soortgelijke ICT Prestatie </w:t>
      </w:r>
    </w:p>
    <w:p w14:paraId="21B3768E"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22.3 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CD7F3BC"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22.4 Onder de in het vorige lid bedoelde redelijke maatregelen in het kader van de overstap naar een andere leverancier/ander systeem worden in ieder geval verstaan (naar keuze van Opdrachtgever):</w:t>
      </w:r>
    </w:p>
    <w:p w14:paraId="03AE5E73"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het alsnog aan de verplichtingen uit artikel 18 voldoen; </w:t>
      </w:r>
    </w:p>
    <w:p w14:paraId="536A0BA9"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het vernietigen van de gegevens waarvoor Opdrachtgever verantwoordelijk is (tegen afgifte van bewijs van vernietiging); </w:t>
      </w:r>
    </w:p>
    <w:p w14:paraId="264E40D7" w14:textId="77777777" w:rsidR="00FA0EFE" w:rsidRPr="00D87CE5" w:rsidRDefault="00FA0EFE" w:rsidP="00FA0EFE">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iii) het technisch ontvlechten en ontmantelen van (een deel van) de ICT Presentatie </w:t>
      </w:r>
    </w:p>
    <w:p w14:paraId="231A47E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22.5 In afwijking van artikel 22.2 worden voornoemde diensten kosteloos verricht indien sprake is van een toerekenbaar tekortschieten door Leverancier. De onder sub 22.4ii) bedoelde werkzaamheden worden op verzoek hoe dan ook kosteloos verricht. </w:t>
      </w:r>
    </w:p>
    <w:p w14:paraId="424553EA"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78B1208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Beperkte voortzetting van ICT Prestatie</w:t>
      </w:r>
    </w:p>
    <w:p w14:paraId="3E39EA2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22.6 Leverancier verklaart zich reeds nu voor alsdan bereid bij beëindiging van de Overeenkomst(en) – op welke grond dan ook – op eerste verzoek van Opdrachtgever:</w:t>
      </w:r>
    </w:p>
    <w:p w14:paraId="4ED8D7F9"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een nieuwe ICT Prestatie of beperkte voortzetting van de bestaande ICT Prestatie te leveren waarmee Opdrachtgever in staat blijft de met de huidige ICT Prestatie opgeslagen gegevens te raadplegen; en </w:t>
      </w:r>
    </w:p>
    <w:p w14:paraId="6FE24452" w14:textId="77777777" w:rsidR="00FA0EFE" w:rsidRPr="00D87CE5" w:rsidRDefault="00FA0EFE" w:rsidP="00FA0EFE">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een beperkte vorm van Onderhoud te (blijven) verlenen op de in het vorige lid bedoelde ICT Prestatie (namelijk binnen de kaders van de in het vorige lid bedoelde beperkte functionaliteit). </w:t>
      </w:r>
    </w:p>
    <w:p w14:paraId="5663E7F6"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22.7 Voor de duur en kosten voor de in het vorige lid bedoelde ICT Prestatie geldt dat:</w:t>
      </w:r>
    </w:p>
    <w:p w14:paraId="51C6B10B"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de duur ten minste een zodanige duur is dat Opdrachtgever aan de wettelijke administratieplichten kan voldoen; </w:t>
      </w:r>
    </w:p>
    <w:p w14:paraId="4E82C352"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de kosten voor in redelijke verhouding staan tot de oorspronkelijke kosten voor de gehele ICT Prestatie (naar rato van de verminderde functionaliteit), met dien verstande dat noodzakelijke verlengingen van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volledig kunnen worden doorbelast. </w:t>
      </w:r>
    </w:p>
    <w:p w14:paraId="098BEFD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587CD6C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Overdracht ICT Prestatie </w:t>
      </w:r>
    </w:p>
    <w:p w14:paraId="4848A207" w14:textId="77777777" w:rsidR="00FA0EFE"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22.8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is alleen overdraagbaar voor zover de wet of de toepasselijke licentievoorwaarden daaraan niet in de weg staan (vgl. artikel 19.5).</w:t>
      </w:r>
    </w:p>
    <w:p w14:paraId="257CCB8C"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3F998E01"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Verlengd gebruik</w:t>
      </w:r>
    </w:p>
    <w:p w14:paraId="00E9958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22.9 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w:t>
      </w:r>
      <w:proofErr w:type="spellStart"/>
      <w:r w:rsidRPr="00D87CE5">
        <w:rPr>
          <w:rFonts w:ascii="Calibri" w:eastAsiaTheme="minorHAnsi" w:hAnsi="Calibri" w:cs="Calibri"/>
          <w:color w:val="000000"/>
          <w:sz w:val="20"/>
          <w:szCs w:val="20"/>
          <w:lang w:eastAsia="en-US" w:bidi="ar-SA"/>
        </w:rPr>
        <w:t>Derdenprogrammatuur</w:t>
      </w:r>
      <w:proofErr w:type="spellEnd"/>
      <w:r w:rsidRPr="00D87CE5">
        <w:rPr>
          <w:rFonts w:ascii="Calibri" w:eastAsiaTheme="minorHAnsi" w:hAnsi="Calibri" w:cs="Calibri"/>
          <w:color w:val="000000"/>
          <w:sz w:val="20"/>
          <w:szCs w:val="20"/>
          <w:lang w:eastAsia="en-US" w:bidi="ar-SA"/>
        </w:rPr>
        <w:t xml:space="preserve"> volledig kunnen worden doorbelast), tenzij de niet-tijdige afronding van de Exit-werkzaamheden toerekenbaar is aan Leverancier (de verlenging is dan gratis). </w:t>
      </w:r>
    </w:p>
    <w:p w14:paraId="1C1A3BBB"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357226B0" w14:textId="77777777" w:rsidR="00FA0EFE" w:rsidRDefault="00FA0EFE" w:rsidP="00FA0EFE">
      <w:pPr>
        <w:widowControl/>
        <w:adjustRightInd w:val="0"/>
        <w:rPr>
          <w:rFonts w:ascii="Calibri" w:eastAsiaTheme="minorHAnsi" w:hAnsi="Calibri" w:cs="Calibri"/>
          <w:b/>
          <w:bCs/>
          <w:color w:val="000000"/>
          <w:sz w:val="23"/>
          <w:szCs w:val="23"/>
          <w:lang w:eastAsia="en-US" w:bidi="ar-SA"/>
        </w:rPr>
      </w:pPr>
      <w:r w:rsidRPr="00D87CE5">
        <w:rPr>
          <w:rFonts w:ascii="Calibri" w:eastAsiaTheme="minorHAnsi" w:hAnsi="Calibri" w:cs="Calibri"/>
          <w:b/>
          <w:bCs/>
          <w:color w:val="000000"/>
          <w:sz w:val="23"/>
          <w:szCs w:val="23"/>
          <w:lang w:eastAsia="en-US" w:bidi="ar-SA"/>
        </w:rPr>
        <w:t>Artikel 21. Controlerecht en medewerking audits bij Opdrachtgeve</w:t>
      </w:r>
      <w:r>
        <w:rPr>
          <w:rFonts w:ascii="Calibri" w:eastAsiaTheme="minorHAnsi" w:hAnsi="Calibri" w:cs="Calibri"/>
          <w:b/>
          <w:bCs/>
          <w:color w:val="000000"/>
          <w:sz w:val="23"/>
          <w:szCs w:val="23"/>
          <w:lang w:eastAsia="en-US" w:bidi="ar-SA"/>
        </w:rPr>
        <w:t>r</w:t>
      </w:r>
    </w:p>
    <w:p w14:paraId="7743044A" w14:textId="77777777" w:rsidR="00FA0EFE" w:rsidRPr="008C79A2" w:rsidRDefault="00FA0EFE" w:rsidP="00FA0EFE">
      <w:pPr>
        <w:widowControl/>
        <w:adjustRightInd w:val="0"/>
        <w:rPr>
          <w:rFonts w:ascii="Calibri" w:eastAsiaTheme="minorHAnsi" w:hAnsi="Calibri" w:cs="Calibri"/>
          <w:color w:val="000000"/>
          <w:sz w:val="20"/>
          <w:szCs w:val="20"/>
          <w:lang w:eastAsia="en-US" w:bidi="ar-SA"/>
        </w:rPr>
      </w:pPr>
      <w:r w:rsidRPr="008C79A2">
        <w:rPr>
          <w:rFonts w:ascii="Calibri" w:eastAsiaTheme="minorHAnsi" w:hAnsi="Calibri" w:cs="Calibri"/>
          <w:color w:val="000000"/>
          <w:sz w:val="20"/>
          <w:szCs w:val="20"/>
          <w:lang w:eastAsia="en-US" w:bidi="ar-SA"/>
        </w:rPr>
        <w:t xml:space="preserve">Controlerecht </w:t>
      </w:r>
    </w:p>
    <w:p w14:paraId="61088504"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21.1 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1EE3C74B"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21.2 Opdrachtgever zal alvorens een controle te doen verrichten eerst Leverancier om de op grond van het vorige lid noodzakelijke informatie vragen. </w:t>
      </w:r>
    </w:p>
    <w:p w14:paraId="23613DBF"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lastRenderedPageBreak/>
        <w:t xml:space="preserve">21.3 De controle zal alleen plaatsvinden indien Opdrachtgever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ook na beantwoording van het in het vorige lid bedoelde verzoek om informatie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gerede twijfel heeft over de nakoming van de verplichtingen door Leverancier, of indien Opdrachtgever anderszins een gerechtvaardigd belang bij de controle heeft (o.m. wettelijke plicht, instructie toezichthouder). </w:t>
      </w:r>
    </w:p>
    <w:p w14:paraId="648A9663"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33B8312D"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21.5 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3C4363B0"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21.6 De kosten voor deze controle worden gedragen door Opdrachtgever (zowel eigen kosten als kosten van de Leverancier), tenzij de derde één of meer tekortkomingen van niet ondergeschikte aard van Leverancier constateert die ten nadele zijn van Opdrachtgever. </w:t>
      </w:r>
    </w:p>
    <w:p w14:paraId="005436B3" w14:textId="77777777" w:rsidR="00FA0EFE" w:rsidRDefault="00FA0EFE" w:rsidP="00FA0EFE">
      <w:pPr>
        <w:widowControl/>
        <w:adjustRightInd w:val="0"/>
        <w:rPr>
          <w:rFonts w:ascii="Calibri" w:eastAsiaTheme="minorHAnsi" w:hAnsi="Calibri" w:cs="Calibri"/>
          <w:color w:val="000000"/>
          <w:sz w:val="20"/>
          <w:szCs w:val="20"/>
          <w:lang w:eastAsia="en-US" w:bidi="ar-SA"/>
        </w:rPr>
      </w:pPr>
    </w:p>
    <w:p w14:paraId="39C329C0" w14:textId="77777777" w:rsidR="00FA0EFE" w:rsidRPr="008C79A2" w:rsidRDefault="00FA0EFE" w:rsidP="00FA0EFE">
      <w:pPr>
        <w:widowControl/>
        <w:adjustRightInd w:val="0"/>
        <w:rPr>
          <w:rFonts w:ascii="Calibri" w:hAnsi="Calibri" w:cs="Calibri"/>
          <w:sz w:val="20"/>
          <w:szCs w:val="20"/>
        </w:rPr>
      </w:pPr>
      <w:r w:rsidRPr="008C79A2">
        <w:rPr>
          <w:rFonts w:ascii="Calibri" w:eastAsiaTheme="minorHAnsi" w:hAnsi="Calibri" w:cs="Calibri"/>
          <w:color w:val="000000"/>
          <w:sz w:val="20"/>
          <w:szCs w:val="20"/>
          <w:lang w:eastAsia="en-US" w:bidi="ar-SA"/>
        </w:rPr>
        <w:t>Medewerking audits bij Opdrachtgever</w:t>
      </w:r>
    </w:p>
    <w:p w14:paraId="0F25717D"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21.7 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2A7F75E5" w14:textId="77777777" w:rsidR="00FA0EFE" w:rsidRPr="00D87CE5" w:rsidRDefault="00FA0EFE" w:rsidP="00FA0EFE">
      <w:pPr>
        <w:widowControl/>
        <w:adjustRightInd w:val="0"/>
        <w:rPr>
          <w:rFonts w:ascii="Calibri" w:hAnsi="Calibri" w:cs="Calibri"/>
          <w:sz w:val="20"/>
          <w:szCs w:val="20"/>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63301">
      <w:footerReference w:type="default" r:id="rId11"/>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83327" w14:textId="77777777" w:rsidR="001123B3" w:rsidRDefault="001123B3">
      <w:r>
        <w:separator/>
      </w:r>
    </w:p>
  </w:endnote>
  <w:endnote w:type="continuationSeparator" w:id="0">
    <w:p w14:paraId="4090486C" w14:textId="77777777" w:rsidR="001123B3" w:rsidRDefault="00112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E61402" w:rsidRPr="00F970C9" w:rsidRDefault="00E61402"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E61402" w:rsidRPr="00363301" w:rsidRDefault="00E61402"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F75D" w14:textId="77777777" w:rsidR="001123B3" w:rsidRDefault="001123B3">
      <w:r>
        <w:separator/>
      </w:r>
    </w:p>
  </w:footnote>
  <w:footnote w:type="continuationSeparator" w:id="0">
    <w:p w14:paraId="642B9552" w14:textId="77777777" w:rsidR="001123B3" w:rsidRDefault="00112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4"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638615301">
    <w:abstractNumId w:val="4"/>
  </w:num>
  <w:num w:numId="2" w16cid:durableId="446850701">
    <w:abstractNumId w:val="17"/>
  </w:num>
  <w:num w:numId="3" w16cid:durableId="5623737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8991668">
    <w:abstractNumId w:val="20"/>
  </w:num>
  <w:num w:numId="5" w16cid:durableId="1115904336">
    <w:abstractNumId w:val="9"/>
  </w:num>
  <w:num w:numId="6" w16cid:durableId="774855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5301038">
    <w:abstractNumId w:val="6"/>
  </w:num>
  <w:num w:numId="8" w16cid:durableId="1343628675">
    <w:abstractNumId w:val="16"/>
  </w:num>
  <w:num w:numId="9" w16cid:durableId="1648313815">
    <w:abstractNumId w:val="15"/>
  </w:num>
  <w:num w:numId="10" w16cid:durableId="1579048163">
    <w:abstractNumId w:val="11"/>
  </w:num>
  <w:num w:numId="11" w16cid:durableId="13548423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751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59385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13875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25007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58210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8482582">
    <w:abstractNumId w:val="7"/>
  </w:num>
  <w:num w:numId="18" w16cid:durableId="2005282305">
    <w:abstractNumId w:val="14"/>
  </w:num>
  <w:num w:numId="19" w16cid:durableId="4343321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62924194">
    <w:abstractNumId w:val="0"/>
  </w:num>
  <w:num w:numId="21" w16cid:durableId="649752213">
    <w:abstractNumId w:val="18"/>
  </w:num>
  <w:num w:numId="22" w16cid:durableId="1134984354">
    <w:abstractNumId w:val="19"/>
  </w:num>
  <w:num w:numId="23" w16cid:durableId="1807888621">
    <w:abstractNumId w:val="10"/>
  </w:num>
  <w:num w:numId="24" w16cid:durableId="847406882">
    <w:abstractNumId w:val="5"/>
  </w:num>
  <w:num w:numId="25" w16cid:durableId="986476714">
    <w:abstractNumId w:val="17"/>
  </w:num>
  <w:num w:numId="26" w16cid:durableId="1348290137">
    <w:abstractNumId w:val="17"/>
  </w:num>
  <w:num w:numId="27" w16cid:durableId="1604148298">
    <w:abstractNumId w:val="3"/>
  </w:num>
  <w:num w:numId="28" w16cid:durableId="1636523000">
    <w:abstractNumId w:val="2"/>
  </w:num>
  <w:num w:numId="29" w16cid:durableId="1097603957">
    <w:abstractNumId w:val="13"/>
  </w:num>
  <w:num w:numId="30" w16cid:durableId="78648581">
    <w:abstractNumId w:val="12"/>
  </w:num>
  <w:num w:numId="31" w16cid:durableId="753743725">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9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EEE"/>
    <w:rsid w:val="0007375A"/>
    <w:rsid w:val="000871EB"/>
    <w:rsid w:val="000956E8"/>
    <w:rsid w:val="0009679E"/>
    <w:rsid w:val="000A7754"/>
    <w:rsid w:val="000B2777"/>
    <w:rsid w:val="000C2E8C"/>
    <w:rsid w:val="000C300E"/>
    <w:rsid w:val="000C5626"/>
    <w:rsid w:val="000D2608"/>
    <w:rsid w:val="000F06EB"/>
    <w:rsid w:val="000F4241"/>
    <w:rsid w:val="000F7149"/>
    <w:rsid w:val="000F7ED9"/>
    <w:rsid w:val="001028DF"/>
    <w:rsid w:val="001123B3"/>
    <w:rsid w:val="0011459E"/>
    <w:rsid w:val="00120750"/>
    <w:rsid w:val="00126243"/>
    <w:rsid w:val="00132EC1"/>
    <w:rsid w:val="00135F9B"/>
    <w:rsid w:val="00141229"/>
    <w:rsid w:val="00144830"/>
    <w:rsid w:val="001459BB"/>
    <w:rsid w:val="00155A80"/>
    <w:rsid w:val="0017284D"/>
    <w:rsid w:val="00180335"/>
    <w:rsid w:val="00180556"/>
    <w:rsid w:val="00180603"/>
    <w:rsid w:val="001807F1"/>
    <w:rsid w:val="001813CD"/>
    <w:rsid w:val="0018572F"/>
    <w:rsid w:val="00186350"/>
    <w:rsid w:val="00186E77"/>
    <w:rsid w:val="001957DB"/>
    <w:rsid w:val="001A5B35"/>
    <w:rsid w:val="001B53A5"/>
    <w:rsid w:val="001B631F"/>
    <w:rsid w:val="001C1A99"/>
    <w:rsid w:val="001C22F4"/>
    <w:rsid w:val="001D1437"/>
    <w:rsid w:val="001E01E4"/>
    <w:rsid w:val="001E666E"/>
    <w:rsid w:val="001E70A0"/>
    <w:rsid w:val="001F1DA4"/>
    <w:rsid w:val="001F4A10"/>
    <w:rsid w:val="001F4D1B"/>
    <w:rsid w:val="002019E7"/>
    <w:rsid w:val="00202C0A"/>
    <w:rsid w:val="00206DE7"/>
    <w:rsid w:val="002216F1"/>
    <w:rsid w:val="00224F09"/>
    <w:rsid w:val="00232B1B"/>
    <w:rsid w:val="002353BC"/>
    <w:rsid w:val="00235A14"/>
    <w:rsid w:val="00236271"/>
    <w:rsid w:val="00242EB0"/>
    <w:rsid w:val="002507F7"/>
    <w:rsid w:val="0025750A"/>
    <w:rsid w:val="00273192"/>
    <w:rsid w:val="00274ED4"/>
    <w:rsid w:val="0028199B"/>
    <w:rsid w:val="00283312"/>
    <w:rsid w:val="00291912"/>
    <w:rsid w:val="00292631"/>
    <w:rsid w:val="00292E36"/>
    <w:rsid w:val="002968C7"/>
    <w:rsid w:val="002A539A"/>
    <w:rsid w:val="002B7520"/>
    <w:rsid w:val="002B7F2A"/>
    <w:rsid w:val="002C06AA"/>
    <w:rsid w:val="002C1BDB"/>
    <w:rsid w:val="002C4CE3"/>
    <w:rsid w:val="002C66FC"/>
    <w:rsid w:val="002D1740"/>
    <w:rsid w:val="002D318B"/>
    <w:rsid w:val="002D7893"/>
    <w:rsid w:val="002D79EE"/>
    <w:rsid w:val="002D7FDD"/>
    <w:rsid w:val="002E0547"/>
    <w:rsid w:val="002E1292"/>
    <w:rsid w:val="002E2F19"/>
    <w:rsid w:val="002F0163"/>
    <w:rsid w:val="002F5646"/>
    <w:rsid w:val="00300DF5"/>
    <w:rsid w:val="003068DC"/>
    <w:rsid w:val="00316650"/>
    <w:rsid w:val="003234F3"/>
    <w:rsid w:val="003313F7"/>
    <w:rsid w:val="003336CA"/>
    <w:rsid w:val="00336F6F"/>
    <w:rsid w:val="00337E86"/>
    <w:rsid w:val="0034168A"/>
    <w:rsid w:val="00341AFA"/>
    <w:rsid w:val="00343113"/>
    <w:rsid w:val="003478B0"/>
    <w:rsid w:val="00354C71"/>
    <w:rsid w:val="003613FE"/>
    <w:rsid w:val="003614B4"/>
    <w:rsid w:val="003630A5"/>
    <w:rsid w:val="00363301"/>
    <w:rsid w:val="003639C4"/>
    <w:rsid w:val="00374BB4"/>
    <w:rsid w:val="00375B21"/>
    <w:rsid w:val="003776A1"/>
    <w:rsid w:val="00381F38"/>
    <w:rsid w:val="00383D08"/>
    <w:rsid w:val="0039309C"/>
    <w:rsid w:val="003A36BA"/>
    <w:rsid w:val="003A591D"/>
    <w:rsid w:val="003B42DF"/>
    <w:rsid w:val="003B6305"/>
    <w:rsid w:val="003C25E5"/>
    <w:rsid w:val="003C295A"/>
    <w:rsid w:val="003C30F0"/>
    <w:rsid w:val="003C6402"/>
    <w:rsid w:val="003C7F38"/>
    <w:rsid w:val="003D19C8"/>
    <w:rsid w:val="003E4414"/>
    <w:rsid w:val="003E4C15"/>
    <w:rsid w:val="003E79DD"/>
    <w:rsid w:val="003E7FE5"/>
    <w:rsid w:val="003F4604"/>
    <w:rsid w:val="003F7E35"/>
    <w:rsid w:val="00401D27"/>
    <w:rsid w:val="0040439B"/>
    <w:rsid w:val="00412487"/>
    <w:rsid w:val="004131FC"/>
    <w:rsid w:val="00415745"/>
    <w:rsid w:val="00425789"/>
    <w:rsid w:val="00426680"/>
    <w:rsid w:val="004302B2"/>
    <w:rsid w:val="00430F06"/>
    <w:rsid w:val="004333D0"/>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53D0"/>
    <w:rsid w:val="00525B8D"/>
    <w:rsid w:val="00526DB3"/>
    <w:rsid w:val="00527D57"/>
    <w:rsid w:val="00531898"/>
    <w:rsid w:val="005319F5"/>
    <w:rsid w:val="0053559E"/>
    <w:rsid w:val="00536332"/>
    <w:rsid w:val="005363AA"/>
    <w:rsid w:val="0054259D"/>
    <w:rsid w:val="00546DCC"/>
    <w:rsid w:val="00547810"/>
    <w:rsid w:val="00547DB9"/>
    <w:rsid w:val="00555DC3"/>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7A19"/>
    <w:rsid w:val="0064267C"/>
    <w:rsid w:val="006533F9"/>
    <w:rsid w:val="00656029"/>
    <w:rsid w:val="00656E9A"/>
    <w:rsid w:val="00662A4F"/>
    <w:rsid w:val="00662CFE"/>
    <w:rsid w:val="00664E63"/>
    <w:rsid w:val="00672409"/>
    <w:rsid w:val="0068212A"/>
    <w:rsid w:val="006863EF"/>
    <w:rsid w:val="006A6022"/>
    <w:rsid w:val="006A7EFD"/>
    <w:rsid w:val="006B1769"/>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31D9E"/>
    <w:rsid w:val="00735340"/>
    <w:rsid w:val="007364BF"/>
    <w:rsid w:val="00736834"/>
    <w:rsid w:val="00737F82"/>
    <w:rsid w:val="00742F93"/>
    <w:rsid w:val="00744B2F"/>
    <w:rsid w:val="00746022"/>
    <w:rsid w:val="007469DA"/>
    <w:rsid w:val="00751726"/>
    <w:rsid w:val="0076385F"/>
    <w:rsid w:val="007644C0"/>
    <w:rsid w:val="007650A4"/>
    <w:rsid w:val="0077250A"/>
    <w:rsid w:val="00786372"/>
    <w:rsid w:val="0078746A"/>
    <w:rsid w:val="00787B76"/>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1A7F"/>
    <w:rsid w:val="00962826"/>
    <w:rsid w:val="00964BA7"/>
    <w:rsid w:val="00965613"/>
    <w:rsid w:val="0097476B"/>
    <w:rsid w:val="0097713D"/>
    <w:rsid w:val="00977EF4"/>
    <w:rsid w:val="009871BC"/>
    <w:rsid w:val="00996CD9"/>
    <w:rsid w:val="00997FBA"/>
    <w:rsid w:val="009A7FF0"/>
    <w:rsid w:val="009B0214"/>
    <w:rsid w:val="009B6A94"/>
    <w:rsid w:val="009C160E"/>
    <w:rsid w:val="009C36E8"/>
    <w:rsid w:val="009C61B5"/>
    <w:rsid w:val="009D1081"/>
    <w:rsid w:val="009D332D"/>
    <w:rsid w:val="009D753C"/>
    <w:rsid w:val="009E3FB6"/>
    <w:rsid w:val="009E465B"/>
    <w:rsid w:val="009E7145"/>
    <w:rsid w:val="009E71C6"/>
    <w:rsid w:val="009E7B37"/>
    <w:rsid w:val="009F1156"/>
    <w:rsid w:val="009F1902"/>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716A"/>
    <w:rsid w:val="00AC77E2"/>
    <w:rsid w:val="00AD36B4"/>
    <w:rsid w:val="00AD36E9"/>
    <w:rsid w:val="00AD387B"/>
    <w:rsid w:val="00AD51C7"/>
    <w:rsid w:val="00AE1A19"/>
    <w:rsid w:val="00AF5AC6"/>
    <w:rsid w:val="00B05E87"/>
    <w:rsid w:val="00B06283"/>
    <w:rsid w:val="00B16DD0"/>
    <w:rsid w:val="00B202B2"/>
    <w:rsid w:val="00B24F08"/>
    <w:rsid w:val="00B2789E"/>
    <w:rsid w:val="00B36EC8"/>
    <w:rsid w:val="00B461FF"/>
    <w:rsid w:val="00B50071"/>
    <w:rsid w:val="00B50AAE"/>
    <w:rsid w:val="00B6071A"/>
    <w:rsid w:val="00B6487E"/>
    <w:rsid w:val="00B700F5"/>
    <w:rsid w:val="00B767C3"/>
    <w:rsid w:val="00B8599B"/>
    <w:rsid w:val="00B90F49"/>
    <w:rsid w:val="00B92F7D"/>
    <w:rsid w:val="00B95BA7"/>
    <w:rsid w:val="00B978E3"/>
    <w:rsid w:val="00BA3352"/>
    <w:rsid w:val="00BA37BA"/>
    <w:rsid w:val="00BA5F3D"/>
    <w:rsid w:val="00BC317D"/>
    <w:rsid w:val="00BC3F32"/>
    <w:rsid w:val="00BD1179"/>
    <w:rsid w:val="00BD2D4B"/>
    <w:rsid w:val="00BD4746"/>
    <w:rsid w:val="00BE7DD3"/>
    <w:rsid w:val="00BF02BD"/>
    <w:rsid w:val="00BF0F9C"/>
    <w:rsid w:val="00BF4CF9"/>
    <w:rsid w:val="00C10A6B"/>
    <w:rsid w:val="00C115AB"/>
    <w:rsid w:val="00C14339"/>
    <w:rsid w:val="00C23770"/>
    <w:rsid w:val="00C25222"/>
    <w:rsid w:val="00C27212"/>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83B87"/>
    <w:rsid w:val="00C92BEE"/>
    <w:rsid w:val="00CA158F"/>
    <w:rsid w:val="00CA6BC5"/>
    <w:rsid w:val="00CA746E"/>
    <w:rsid w:val="00CB0A09"/>
    <w:rsid w:val="00CC4CF9"/>
    <w:rsid w:val="00CD2707"/>
    <w:rsid w:val="00CE29FD"/>
    <w:rsid w:val="00CE4975"/>
    <w:rsid w:val="00CE7170"/>
    <w:rsid w:val="00CE7394"/>
    <w:rsid w:val="00CF19E5"/>
    <w:rsid w:val="00CF1FD8"/>
    <w:rsid w:val="00CF556B"/>
    <w:rsid w:val="00D03F76"/>
    <w:rsid w:val="00D06AE3"/>
    <w:rsid w:val="00D10C8E"/>
    <w:rsid w:val="00D16412"/>
    <w:rsid w:val="00D22454"/>
    <w:rsid w:val="00D3275B"/>
    <w:rsid w:val="00D33A83"/>
    <w:rsid w:val="00D356B3"/>
    <w:rsid w:val="00D43CEB"/>
    <w:rsid w:val="00D443E6"/>
    <w:rsid w:val="00D4614A"/>
    <w:rsid w:val="00D46BB4"/>
    <w:rsid w:val="00D47028"/>
    <w:rsid w:val="00D5123C"/>
    <w:rsid w:val="00D55578"/>
    <w:rsid w:val="00D575FB"/>
    <w:rsid w:val="00D57B1B"/>
    <w:rsid w:val="00D62A40"/>
    <w:rsid w:val="00D64523"/>
    <w:rsid w:val="00D66240"/>
    <w:rsid w:val="00D662A7"/>
    <w:rsid w:val="00D84A24"/>
    <w:rsid w:val="00D9012B"/>
    <w:rsid w:val="00DA012A"/>
    <w:rsid w:val="00DA0C58"/>
    <w:rsid w:val="00DA39B0"/>
    <w:rsid w:val="00DB1009"/>
    <w:rsid w:val="00DB2B84"/>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96F27"/>
    <w:rsid w:val="00EA0AE8"/>
    <w:rsid w:val="00EB614A"/>
    <w:rsid w:val="00EC3331"/>
    <w:rsid w:val="00EC73AE"/>
    <w:rsid w:val="00ED22B6"/>
    <w:rsid w:val="00ED6571"/>
    <w:rsid w:val="00EE0640"/>
    <w:rsid w:val="00EE2125"/>
    <w:rsid w:val="00EE4846"/>
    <w:rsid w:val="00EE5432"/>
    <w:rsid w:val="00EE68E6"/>
    <w:rsid w:val="00EE7807"/>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970C9"/>
    <w:rsid w:val="00FA0EFE"/>
    <w:rsid w:val="00FA32E3"/>
    <w:rsid w:val="00FA66FA"/>
    <w:rsid w:val="00FC0284"/>
    <w:rsid w:val="00FC2A7E"/>
    <w:rsid w:val="00FC2FF9"/>
    <w:rsid w:val="00FC3ADB"/>
    <w:rsid w:val="00FC3EA7"/>
    <w:rsid w:val="00FC592D"/>
    <w:rsid w:val="00FC60BF"/>
    <w:rsid w:val="00FC7C40"/>
    <w:rsid w:val="00FD2598"/>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63301"/>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63301"/>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39E5C58239B0A4BBFC1D15A9FB564C7" ma:contentTypeVersion="12" ma:contentTypeDescription="Een nieuw document maken." ma:contentTypeScope="" ma:versionID="34828d0afe2719eab7095e536612f10b">
  <xsd:schema xmlns:xsd="http://www.w3.org/2001/XMLSchema" xmlns:xs="http://www.w3.org/2001/XMLSchema" xmlns:p="http://schemas.microsoft.com/office/2006/metadata/properties" xmlns:ns2="54ca84a0-1bf9-4034-9a36-86e0c8c11553" xmlns:ns3="8e883c61-fc1d-48f1-84ae-af2bff4a7d55" targetNamespace="http://schemas.microsoft.com/office/2006/metadata/properties" ma:root="true" ma:fieldsID="4800cf769745b5ebd59b17422c9686e1" ns2:_="" ns3:_="">
    <xsd:import namespace="54ca84a0-1bf9-4034-9a36-86e0c8c11553"/>
    <xsd:import namespace="8e883c61-fc1d-48f1-84ae-af2bff4a7d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a84a0-1bf9-4034-9a36-86e0c8c115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83c61-fc1d-48f1-84ae-af2bff4a7d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3.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4.xml><?xml version="1.0" encoding="utf-8"?>
<ds:datastoreItem xmlns:ds="http://schemas.openxmlformats.org/officeDocument/2006/customXml" ds:itemID="{288250AE-3DF2-4210-BCB3-B98388C2A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a84a0-1bf9-4034-9a36-86e0c8c11553"/>
    <ds:schemaRef ds:uri="8e883c61-fc1d-48f1-84ae-af2bff4a7d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3016</Words>
  <Characters>16591</Characters>
  <Application>Microsoft Office Word</Application>
  <DocSecurity>6</DocSecurity>
  <Lines>138</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2024-02-07T13:21:00Z</dcterms:created>
  <dcterms:modified xsi:type="dcterms:W3CDTF">2024-02-07T13:21:00Z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0x010100A39E5C58239B0A4BBFC1D15A9FB564C7</vt:lpwstr>
  </property>
</Properties>
</file>